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58" w:rsidRDefault="007F025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7F0258">
        <w:trPr>
          <w:cantSplit/>
          <w:trHeight w:val="819"/>
          <w:tblHeader/>
        </w:trPr>
        <w:tc>
          <w:tcPr>
            <w:tcW w:w="4650" w:type="dxa"/>
            <w:gridSpan w:val="3"/>
            <w:shd w:val="clear" w:color="auto" w:fill="auto"/>
          </w:tcPr>
          <w:p w:rsidR="007F0258" w:rsidRDefault="001452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898775" cy="100901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7F0258" w:rsidRDefault="007F025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7F0258" w:rsidRDefault="001452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51815" cy="58674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F0258" w:rsidRDefault="007F025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7F0258" w:rsidRDefault="001452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27175" cy="37084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258">
        <w:trPr>
          <w:cantSplit/>
          <w:tblHeader/>
        </w:trPr>
        <w:tc>
          <w:tcPr>
            <w:tcW w:w="115" w:type="dxa"/>
            <w:shd w:val="clear" w:color="auto" w:fill="auto"/>
          </w:tcPr>
          <w:p w:rsidR="007F0258" w:rsidRDefault="007F025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7F0258" w:rsidRDefault="001452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7F0258">
        <w:trPr>
          <w:cantSplit/>
          <w:tblHeader/>
        </w:trPr>
        <w:tc>
          <w:tcPr>
            <w:tcW w:w="115" w:type="dxa"/>
            <w:shd w:val="clear" w:color="auto" w:fill="auto"/>
          </w:tcPr>
          <w:p w:rsidR="007F0258" w:rsidRDefault="007F025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7F0258" w:rsidRDefault="001452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7F0258" w:rsidRDefault="001452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7F0258" w:rsidRDefault="001452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7F0258" w:rsidRDefault="007F0258">
      <w:pPr>
        <w:pStyle w:val="Normale1"/>
      </w:pPr>
    </w:p>
    <w:p w:rsidR="007F0258" w:rsidRDefault="00B73C7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Attività svolte</w:t>
      </w:r>
      <w:r w:rsidR="00145200">
        <w:rPr>
          <w:rFonts w:ascii="Calibri" w:eastAsia="Calibri" w:hAnsi="Calibri" w:cs="Calibri"/>
          <w:b/>
          <w:color w:val="000000"/>
          <w:sz w:val="28"/>
          <w:szCs w:val="28"/>
        </w:rPr>
        <w:t xml:space="preserve"> A.S. 20</w:t>
      </w:r>
      <w:r w:rsidR="00145200">
        <w:rPr>
          <w:rFonts w:ascii="Calibri" w:eastAsia="Calibri" w:hAnsi="Calibri" w:cs="Calibri"/>
          <w:b/>
          <w:sz w:val="28"/>
          <w:szCs w:val="28"/>
        </w:rPr>
        <w:t>23</w:t>
      </w:r>
      <w:r w:rsidR="00145200"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 w:rsidR="00145200">
        <w:rPr>
          <w:rFonts w:ascii="Calibri" w:eastAsia="Calibri" w:hAnsi="Calibri" w:cs="Calibri"/>
          <w:b/>
          <w:sz w:val="28"/>
          <w:szCs w:val="28"/>
        </w:rPr>
        <w:t>4</w:t>
      </w:r>
    </w:p>
    <w:p w:rsidR="007F0258" w:rsidRDefault="007F025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7F0258" w:rsidRDefault="007F0258">
      <w:pPr>
        <w:pStyle w:val="Normale1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4muz54wz7ni7" w:colFirst="0" w:colLast="0"/>
      <w:bookmarkEnd w:id="1"/>
    </w:p>
    <w:p w:rsidR="007F0258" w:rsidRDefault="00145200">
      <w:pPr>
        <w:pStyle w:val="Normale1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2" w:name="_1i4gvvmky6lf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>Nome e cognome della docente</w:t>
      </w:r>
      <w:r>
        <w:rPr>
          <w:rFonts w:ascii="Calibri" w:eastAsia="Calibri" w:hAnsi="Calibri" w:cs="Calibri"/>
          <w:sz w:val="24"/>
          <w:szCs w:val="24"/>
        </w:rPr>
        <w:t>:</w:t>
      </w:r>
      <w:r w:rsidR="00466ADB" w:rsidRPr="00466AD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66ADB">
        <w:rPr>
          <w:rFonts w:ascii="Calibri" w:eastAsia="Calibri" w:hAnsi="Calibri" w:cs="Calibri"/>
          <w:b/>
          <w:sz w:val="24"/>
          <w:szCs w:val="24"/>
        </w:rPr>
        <w:t>Antonella Corrado</w:t>
      </w:r>
      <w:r w:rsidR="00B73C71">
        <w:rPr>
          <w:rFonts w:ascii="Calibri" w:eastAsia="Calibri" w:hAnsi="Calibri" w:cs="Calibri"/>
          <w:b/>
          <w:sz w:val="24"/>
          <w:szCs w:val="24"/>
        </w:rPr>
        <w:t xml:space="preserve">     </w:t>
      </w:r>
      <w:proofErr w:type="gramStart"/>
      <w:r w:rsidR="00B73C71">
        <w:rPr>
          <w:rFonts w:ascii="Calibri" w:eastAsia="Calibri" w:hAnsi="Calibri" w:cs="Calibri"/>
          <w:b/>
          <w:sz w:val="24"/>
          <w:szCs w:val="24"/>
        </w:rPr>
        <w:t>ITP :</w:t>
      </w:r>
      <w:proofErr w:type="gramEnd"/>
      <w:r w:rsidR="00B73C71">
        <w:rPr>
          <w:rFonts w:ascii="Calibri" w:eastAsia="Calibri" w:hAnsi="Calibri" w:cs="Calibri"/>
          <w:b/>
          <w:sz w:val="24"/>
          <w:szCs w:val="24"/>
        </w:rPr>
        <w:t xml:space="preserve"> Carlo Corridori</w:t>
      </w:r>
    </w:p>
    <w:p w:rsidR="007F0258" w:rsidRDefault="007F0258">
      <w:pPr>
        <w:pStyle w:val="Normale1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3" w:name="_jrsf0v17y9up" w:colFirst="0" w:colLast="0"/>
      <w:bookmarkEnd w:id="3"/>
    </w:p>
    <w:p w:rsidR="007F0258" w:rsidRDefault="00145200">
      <w:pPr>
        <w:pStyle w:val="Normale1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4" w:name="_l4ln8tk5f5mi" w:colFirst="0" w:colLast="0"/>
      <w:bookmarkEnd w:id="4"/>
      <w:r>
        <w:rPr>
          <w:rFonts w:ascii="Calibri" w:eastAsia="Calibri" w:hAnsi="Calibri" w:cs="Calibri"/>
          <w:b/>
          <w:sz w:val="24"/>
          <w:szCs w:val="24"/>
        </w:rPr>
        <w:t>Disciplina insegnata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466ADB">
        <w:rPr>
          <w:rFonts w:ascii="Calibri" w:eastAsia="Calibri" w:hAnsi="Calibri" w:cs="Calibri"/>
          <w:sz w:val="24"/>
          <w:szCs w:val="24"/>
        </w:rPr>
        <w:t>Chimica analitica Strumentale</w:t>
      </w:r>
    </w:p>
    <w:p w:rsidR="007F0258" w:rsidRDefault="007F0258">
      <w:pPr>
        <w:pStyle w:val="Normale1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5" w:name="_kz53r8dcjmbb" w:colFirst="0" w:colLast="0"/>
      <w:bookmarkEnd w:id="5"/>
    </w:p>
    <w:p w:rsidR="00466ADB" w:rsidRDefault="00145200" w:rsidP="00466ADB">
      <w:pPr>
        <w:pStyle w:val="Titolo1"/>
        <w:tabs>
          <w:tab w:val="left" w:pos="708"/>
        </w:tabs>
        <w:snapToGrid w:val="0"/>
        <w:spacing w:before="0" w:after="0"/>
        <w:jc w:val="left"/>
        <w:rPr>
          <w:rFonts w:ascii="Calibri" w:hAnsi="Calibri" w:cs="Arial"/>
        </w:rPr>
      </w:pPr>
      <w:r>
        <w:rPr>
          <w:rFonts w:ascii="Calibri" w:eastAsia="Calibri" w:hAnsi="Calibri" w:cs="Calibri"/>
        </w:rPr>
        <w:t>Libro di testo in uso</w:t>
      </w:r>
      <w:r w:rsidR="00466ADB" w:rsidRPr="00466ADB">
        <w:rPr>
          <w:b w:val="0"/>
          <w:i w:val="0"/>
        </w:rPr>
        <w:t xml:space="preserve"> </w:t>
      </w:r>
      <w:r w:rsidR="00466ADB">
        <w:rPr>
          <w:b w:val="0"/>
          <w:i w:val="0"/>
        </w:rPr>
        <w:t xml:space="preserve">Le </w:t>
      </w:r>
      <w:r w:rsidR="00466ADB" w:rsidRPr="00EB5EAB">
        <w:rPr>
          <w:rFonts w:asciiTheme="majorHAnsi" w:hAnsiTheme="majorHAnsi" w:cstheme="majorHAnsi"/>
          <w:b w:val="0"/>
          <w:i w:val="0"/>
        </w:rPr>
        <w:t>BASI</w:t>
      </w:r>
      <w:r w:rsidR="00466ADB" w:rsidRPr="00EB5EAB">
        <w:rPr>
          <w:rFonts w:asciiTheme="majorHAnsi" w:hAnsiTheme="majorHAnsi" w:cstheme="majorHAnsi"/>
        </w:rPr>
        <w:t xml:space="preserve"> </w:t>
      </w:r>
      <w:r w:rsidR="00466ADB" w:rsidRPr="00EB5EAB">
        <w:rPr>
          <w:rFonts w:asciiTheme="majorHAnsi" w:hAnsiTheme="majorHAnsi" w:cstheme="majorHAnsi"/>
          <w:b w:val="0"/>
          <w:i w:val="0"/>
        </w:rPr>
        <w:t>DELLA CHIMICA ANALITICA  2ED -RUBINO CARMINE</w:t>
      </w:r>
    </w:p>
    <w:p w:rsidR="00466ADB" w:rsidRDefault="00466ADB" w:rsidP="00466ADB">
      <w:pPr>
        <w:pStyle w:val="Normale1"/>
        <w:keepNext/>
        <w:tabs>
          <w:tab w:val="left" w:pos="708"/>
        </w:tabs>
        <w:rPr>
          <w:rFonts w:ascii="Calibri" w:eastAsia="Calibri" w:hAnsi="Calibri" w:cs="Calibri"/>
          <w:b/>
          <w:sz w:val="24"/>
          <w:szCs w:val="24"/>
        </w:rPr>
      </w:pPr>
    </w:p>
    <w:p w:rsidR="007F0258" w:rsidRDefault="007F0258">
      <w:pPr>
        <w:pStyle w:val="Normale1"/>
        <w:keepNext/>
        <w:tabs>
          <w:tab w:val="left" w:pos="708"/>
        </w:tabs>
        <w:ind w:left="432"/>
        <w:rPr>
          <w:rFonts w:ascii="Calibri" w:eastAsia="Calibri" w:hAnsi="Calibri" w:cs="Calibri"/>
          <w:b/>
          <w:sz w:val="24"/>
          <w:szCs w:val="24"/>
        </w:rPr>
      </w:pPr>
    </w:p>
    <w:p w:rsidR="007F0258" w:rsidRDefault="007F0258">
      <w:pPr>
        <w:pStyle w:val="Normale1"/>
        <w:keepNext/>
        <w:tabs>
          <w:tab w:val="left" w:pos="708"/>
        </w:tabs>
        <w:ind w:left="432"/>
        <w:rPr>
          <w:rFonts w:ascii="Calibri" w:eastAsia="Calibri" w:hAnsi="Calibri" w:cs="Calibri"/>
          <w:b/>
          <w:sz w:val="24"/>
          <w:szCs w:val="24"/>
        </w:rPr>
      </w:pPr>
    </w:p>
    <w:p w:rsidR="007F0258" w:rsidRDefault="00145200">
      <w:pPr>
        <w:pStyle w:val="Normale1"/>
        <w:keepNext/>
        <w:tabs>
          <w:tab w:val="left" w:pos="708"/>
        </w:tabs>
        <w:ind w:left="43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Classe e Sezione</w:t>
      </w:r>
      <w:r w:rsidR="00466ADB">
        <w:rPr>
          <w:rFonts w:ascii="Calibri" w:eastAsia="Calibri" w:hAnsi="Calibri" w:cs="Calibri"/>
          <w:b/>
          <w:sz w:val="24"/>
          <w:szCs w:val="24"/>
        </w:rPr>
        <w:t xml:space="preserve"> 4G</w:t>
      </w:r>
    </w:p>
    <w:p w:rsidR="007F0258" w:rsidRDefault="007F0258">
      <w:pPr>
        <w:pStyle w:val="Normale1"/>
        <w:keepNext/>
        <w:tabs>
          <w:tab w:val="left" w:pos="708"/>
        </w:tabs>
        <w:rPr>
          <w:rFonts w:ascii="Calibri" w:eastAsia="Calibri" w:hAnsi="Calibri" w:cs="Calibri"/>
          <w:b/>
          <w:sz w:val="24"/>
          <w:szCs w:val="24"/>
        </w:rPr>
      </w:pPr>
    </w:p>
    <w:p w:rsidR="007F0258" w:rsidRDefault="00145200">
      <w:pPr>
        <w:pStyle w:val="Normale1"/>
        <w:keepNext/>
        <w:tabs>
          <w:tab w:val="left" w:pos="708"/>
        </w:tabs>
        <w:ind w:left="43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Indirizzo di studio</w:t>
      </w:r>
      <w:r w:rsidR="00466ADB" w:rsidRPr="00466ADB">
        <w:rPr>
          <w:rFonts w:asciiTheme="majorHAnsi" w:eastAsia="Arial" w:hAnsiTheme="majorHAnsi" w:cstheme="majorHAnsi"/>
          <w:b/>
          <w:i/>
          <w:sz w:val="24"/>
          <w:szCs w:val="24"/>
        </w:rPr>
        <w:t xml:space="preserve"> </w:t>
      </w:r>
      <w:r w:rsidR="00466ADB" w:rsidRPr="00EB5EAB">
        <w:rPr>
          <w:rFonts w:asciiTheme="majorHAnsi" w:eastAsia="Arial" w:hAnsiTheme="majorHAnsi" w:cstheme="majorHAnsi"/>
          <w:b/>
          <w:i/>
          <w:sz w:val="24"/>
          <w:szCs w:val="24"/>
        </w:rPr>
        <w:t>BIOTECNOLOGIE SANITARIE</w:t>
      </w:r>
    </w:p>
    <w:p w:rsidR="007F0258" w:rsidRDefault="007F025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466ADB" w:rsidRPr="00466ADB" w:rsidRDefault="00466ADB" w:rsidP="00466AD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hAnsiTheme="majorHAnsi" w:cstheme="majorHAnsi"/>
          <w:b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Percorso 1</w:t>
      </w:r>
      <w:r w:rsidRPr="00466ADB">
        <w:rPr>
          <w:rFonts w:asciiTheme="majorHAnsi" w:hAnsiTheme="majorHAnsi" w:cstheme="majorHAnsi"/>
          <w:sz w:val="24"/>
          <w:szCs w:val="24"/>
        </w:rPr>
        <w:t xml:space="preserve"> </w:t>
      </w:r>
      <w:r w:rsidRPr="00466ADB">
        <w:rPr>
          <w:rFonts w:asciiTheme="majorHAnsi" w:hAnsiTheme="majorHAnsi" w:cstheme="majorHAnsi"/>
          <w:b/>
          <w:i/>
          <w:sz w:val="24"/>
          <w:szCs w:val="24"/>
        </w:rPr>
        <w:t>Equilibrio delle trasformazioni</w:t>
      </w:r>
    </w:p>
    <w:p w:rsidR="00466ADB" w:rsidRPr="00466ADB" w:rsidRDefault="00466ADB" w:rsidP="00466ADB">
      <w:pPr>
        <w:pStyle w:val="elenco1ProgrammazioneIDEE72095"/>
        <w:numPr>
          <w:ilvl w:val="0"/>
          <w:numId w:val="0"/>
        </w:numPr>
        <w:spacing w:line="360" w:lineRule="auto"/>
        <w:rPr>
          <w:rFonts w:asciiTheme="majorHAnsi" w:hAnsiTheme="majorHAnsi" w:cstheme="majorHAnsi"/>
          <w:i/>
          <w:sz w:val="24"/>
          <w:szCs w:val="24"/>
          <w:rtl/>
          <w:lang w:bidi="ar-YE"/>
        </w:rPr>
      </w:pPr>
      <w:r w:rsidRPr="00466ADB">
        <w:rPr>
          <w:rFonts w:asciiTheme="majorHAnsi" w:hAnsiTheme="majorHAnsi" w:cstheme="majorHAnsi"/>
          <w:i/>
          <w:sz w:val="24"/>
          <w:szCs w:val="24"/>
        </w:rPr>
        <w:t>Spiegare che cos’</w:t>
      </w:r>
      <w:r w:rsidRPr="00466ADB">
        <w:rPr>
          <w:rFonts w:asciiTheme="majorHAnsi" w:hAnsiTheme="majorHAnsi" w:cstheme="majorHAnsi"/>
          <w:i/>
          <w:sz w:val="24"/>
          <w:szCs w:val="24"/>
          <w:rtl/>
          <w:lang w:bidi="ar-YE"/>
        </w:rPr>
        <w:t>è lo stato di equilibrio e in quali condizioni viene raggiunto</w:t>
      </w:r>
    </w:p>
    <w:p w:rsidR="00466ADB" w:rsidRPr="00466ADB" w:rsidRDefault="00466ADB" w:rsidP="00466ADB">
      <w:pPr>
        <w:pStyle w:val="elenco1ProgrammazioneIDEE72095"/>
        <w:numPr>
          <w:ilvl w:val="0"/>
          <w:numId w:val="0"/>
        </w:numPr>
        <w:spacing w:line="360" w:lineRule="auto"/>
        <w:ind w:left="170" w:hanging="170"/>
        <w:rPr>
          <w:rFonts w:asciiTheme="majorHAnsi" w:hAnsiTheme="majorHAnsi" w:cstheme="majorHAnsi"/>
          <w:i/>
          <w:sz w:val="24"/>
          <w:szCs w:val="24"/>
        </w:rPr>
      </w:pPr>
      <w:r w:rsidRPr="00466ADB">
        <w:rPr>
          <w:rFonts w:asciiTheme="majorHAnsi" w:hAnsiTheme="majorHAnsi" w:cstheme="majorHAnsi"/>
          <w:i/>
          <w:sz w:val="24"/>
          <w:szCs w:val="24"/>
        </w:rPr>
        <w:t>Prevedere lo spostamento dell’equilibrio al variare della concentrazione di una specie o al variare della temperatura</w:t>
      </w:r>
    </w:p>
    <w:p w:rsidR="00466ADB" w:rsidRPr="00466ADB" w:rsidRDefault="00466ADB" w:rsidP="00466ADB">
      <w:pPr>
        <w:pStyle w:val="elenco1ProgrammazioneIDEE72095"/>
        <w:numPr>
          <w:ilvl w:val="0"/>
          <w:numId w:val="0"/>
        </w:numPr>
        <w:spacing w:line="360" w:lineRule="auto"/>
        <w:ind w:left="170" w:hanging="170"/>
        <w:rPr>
          <w:rFonts w:asciiTheme="majorHAnsi" w:hAnsiTheme="majorHAnsi" w:cstheme="majorHAnsi"/>
          <w:i/>
          <w:sz w:val="24"/>
          <w:szCs w:val="24"/>
        </w:rPr>
      </w:pPr>
      <w:r w:rsidRPr="00466ADB">
        <w:rPr>
          <w:rFonts w:asciiTheme="majorHAnsi" w:hAnsiTheme="majorHAnsi" w:cstheme="majorHAnsi"/>
          <w:i/>
          <w:sz w:val="24"/>
          <w:szCs w:val="24"/>
        </w:rPr>
        <w:t xml:space="preserve">Calcolare il valore della costante di equilibrio da valori di concentrazione </w:t>
      </w:r>
    </w:p>
    <w:p w:rsidR="00466ADB" w:rsidRPr="00466ADB" w:rsidRDefault="00466ADB" w:rsidP="00466ADB">
      <w:pPr>
        <w:pStyle w:val="elenco1ProgrammazioneIDEE72095"/>
        <w:numPr>
          <w:ilvl w:val="0"/>
          <w:numId w:val="0"/>
        </w:numPr>
        <w:ind w:left="170"/>
        <w:rPr>
          <w:rFonts w:asciiTheme="majorHAnsi" w:hAnsiTheme="majorHAnsi" w:cstheme="majorHAnsi"/>
          <w:i/>
          <w:sz w:val="24"/>
          <w:szCs w:val="24"/>
        </w:rPr>
      </w:pPr>
      <w:r w:rsidRPr="00466ADB">
        <w:rPr>
          <w:rFonts w:asciiTheme="majorHAnsi" w:hAnsiTheme="majorHAnsi" w:cstheme="majorHAnsi"/>
          <w:i/>
          <w:sz w:val="24"/>
          <w:szCs w:val="24"/>
        </w:rPr>
        <w:t>Correlare il valore di K</w:t>
      </w:r>
      <w:r w:rsidRPr="00466ADB">
        <w:rPr>
          <w:rFonts w:asciiTheme="majorHAnsi" w:hAnsiTheme="majorHAnsi" w:cstheme="majorHAnsi"/>
          <w:i/>
          <w:sz w:val="24"/>
          <w:szCs w:val="24"/>
          <w:vertAlign w:val="subscript"/>
        </w:rPr>
        <w:t>c</w:t>
      </w:r>
      <w:r w:rsidRPr="00466ADB">
        <w:rPr>
          <w:rFonts w:asciiTheme="majorHAnsi" w:hAnsiTheme="majorHAnsi" w:cstheme="majorHAnsi"/>
          <w:i/>
          <w:sz w:val="24"/>
          <w:szCs w:val="24"/>
        </w:rPr>
        <w:t xml:space="preserve"> con lo stato di equilibrio raggiunto da una reazione</w:t>
      </w:r>
    </w:p>
    <w:p w:rsidR="00466ADB" w:rsidRPr="00466ADB" w:rsidRDefault="00466ADB" w:rsidP="00466ADB">
      <w:pPr>
        <w:pStyle w:val="elenco1ProgrammazioneIDEE72095"/>
        <w:numPr>
          <w:ilvl w:val="0"/>
          <w:numId w:val="0"/>
        </w:numPr>
        <w:ind w:left="170"/>
        <w:rPr>
          <w:rFonts w:asciiTheme="majorHAnsi" w:hAnsiTheme="majorHAnsi" w:cstheme="majorHAnsi"/>
          <w:i/>
          <w:sz w:val="24"/>
          <w:szCs w:val="24"/>
        </w:rPr>
      </w:pPr>
    </w:p>
    <w:p w:rsidR="00466ADB" w:rsidRPr="00466ADB" w:rsidRDefault="00466ADB" w:rsidP="00466ADB">
      <w:pPr>
        <w:pStyle w:val="elenco1ProgrammazioneIDEE72095"/>
        <w:numPr>
          <w:ilvl w:val="0"/>
          <w:numId w:val="0"/>
        </w:numPr>
        <w:spacing w:line="360" w:lineRule="auto"/>
        <w:ind w:left="170"/>
        <w:rPr>
          <w:rFonts w:asciiTheme="majorHAnsi" w:hAnsiTheme="majorHAnsi" w:cstheme="majorHAnsi"/>
          <w:i/>
          <w:sz w:val="24"/>
          <w:szCs w:val="24"/>
        </w:rPr>
      </w:pPr>
      <w:proofErr w:type="gramStart"/>
      <w:r w:rsidRPr="00466ADB">
        <w:rPr>
          <w:rFonts w:asciiTheme="majorHAnsi" w:hAnsiTheme="majorHAnsi" w:cstheme="majorHAnsi"/>
          <w:sz w:val="24"/>
          <w:szCs w:val="24"/>
        </w:rPr>
        <w:t>A</w:t>
      </w:r>
      <w:r w:rsidRPr="00466ADB">
        <w:rPr>
          <w:rFonts w:asciiTheme="majorHAnsi" w:hAnsiTheme="majorHAnsi" w:cstheme="majorHAnsi"/>
          <w:b/>
          <w:sz w:val="24"/>
          <w:szCs w:val="24"/>
        </w:rPr>
        <w:t>bilità</w:t>
      </w:r>
      <w:r w:rsidRPr="00466ADB">
        <w:rPr>
          <w:rFonts w:asciiTheme="majorHAnsi" w:hAnsiTheme="majorHAnsi" w:cstheme="majorHAnsi"/>
          <w:sz w:val="24"/>
          <w:szCs w:val="24"/>
        </w:rPr>
        <w:t>:</w:t>
      </w:r>
      <w:r w:rsidRPr="00466AD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66ADB">
        <w:rPr>
          <w:rFonts w:asciiTheme="majorHAnsi" w:hAnsiTheme="majorHAnsi" w:cstheme="majorHAnsi"/>
          <w:sz w:val="24"/>
          <w:szCs w:val="24"/>
        </w:rPr>
        <w:t xml:space="preserve"> </w:t>
      </w:r>
      <w:r w:rsidRPr="00466ADB">
        <w:rPr>
          <w:rFonts w:asciiTheme="majorHAnsi" w:hAnsiTheme="majorHAnsi" w:cstheme="majorHAnsi"/>
          <w:i/>
          <w:sz w:val="24"/>
          <w:szCs w:val="24"/>
        </w:rPr>
        <w:t>Descrive</w:t>
      </w:r>
      <w:proofErr w:type="gramEnd"/>
      <w:r w:rsidRPr="00466ADB">
        <w:rPr>
          <w:rFonts w:asciiTheme="majorHAnsi" w:hAnsiTheme="majorHAnsi" w:cstheme="majorHAnsi"/>
          <w:i/>
          <w:sz w:val="24"/>
          <w:szCs w:val="24"/>
        </w:rPr>
        <w:t xml:space="preserve"> un sistema all’equilibrio sia a livello macroscopico sia a livello particellare</w:t>
      </w:r>
    </w:p>
    <w:p w:rsidR="00466ADB" w:rsidRPr="00466ADB" w:rsidRDefault="00466ADB" w:rsidP="00466ADB">
      <w:pPr>
        <w:pStyle w:val="elenco1ProgrammazioneIDEE72095"/>
        <w:numPr>
          <w:ilvl w:val="0"/>
          <w:numId w:val="0"/>
        </w:numPr>
        <w:spacing w:line="360" w:lineRule="auto"/>
        <w:ind w:left="170"/>
        <w:rPr>
          <w:rFonts w:asciiTheme="majorHAnsi" w:hAnsiTheme="majorHAnsi" w:cstheme="majorHAnsi"/>
          <w:i/>
          <w:sz w:val="24"/>
          <w:szCs w:val="24"/>
        </w:rPr>
      </w:pPr>
      <w:r w:rsidRPr="00466ADB">
        <w:rPr>
          <w:rFonts w:asciiTheme="majorHAnsi" w:hAnsiTheme="majorHAnsi" w:cstheme="majorHAnsi"/>
          <w:i/>
          <w:sz w:val="24"/>
          <w:szCs w:val="24"/>
        </w:rPr>
        <w:t xml:space="preserve">Applica il principio di Le </w:t>
      </w:r>
      <w:proofErr w:type="spellStart"/>
      <w:r w:rsidRPr="00466ADB">
        <w:rPr>
          <w:rFonts w:asciiTheme="majorHAnsi" w:hAnsiTheme="majorHAnsi" w:cstheme="majorHAnsi"/>
          <w:i/>
          <w:sz w:val="24"/>
          <w:szCs w:val="24"/>
        </w:rPr>
        <w:t>Châtelier</w:t>
      </w:r>
      <w:proofErr w:type="spellEnd"/>
      <w:r w:rsidRPr="00466ADB">
        <w:rPr>
          <w:rFonts w:asciiTheme="majorHAnsi" w:hAnsiTheme="majorHAnsi" w:cstheme="majorHAnsi"/>
          <w:i/>
          <w:sz w:val="24"/>
          <w:szCs w:val="24"/>
        </w:rPr>
        <w:t xml:space="preserve"> per prevedere l’evoluzione di un sistema all’equilibrio</w:t>
      </w:r>
    </w:p>
    <w:p w:rsidR="00466ADB" w:rsidRPr="00466ADB" w:rsidRDefault="00466ADB" w:rsidP="00466ADB">
      <w:pPr>
        <w:pStyle w:val="elenco1ProgrammazioneIDEE72095"/>
        <w:numPr>
          <w:ilvl w:val="0"/>
          <w:numId w:val="0"/>
        </w:numPr>
        <w:spacing w:line="360" w:lineRule="auto"/>
        <w:ind w:left="170"/>
        <w:rPr>
          <w:rFonts w:asciiTheme="majorHAnsi" w:hAnsiTheme="majorHAnsi" w:cstheme="majorHAnsi"/>
          <w:i/>
          <w:sz w:val="24"/>
          <w:szCs w:val="24"/>
        </w:rPr>
      </w:pPr>
      <w:r w:rsidRPr="00466ADB">
        <w:rPr>
          <w:rFonts w:asciiTheme="majorHAnsi" w:hAnsiTheme="majorHAnsi" w:cstheme="majorHAnsi"/>
          <w:i/>
          <w:sz w:val="24"/>
          <w:szCs w:val="24"/>
        </w:rPr>
        <w:t>Utilizza la legge dell’azione di massa per rappresentare un sistema all’equilibrio. Utilizza il quoziente di reazione per prevedere come evolve un sistema per raggiungere l’equilibrio</w:t>
      </w:r>
    </w:p>
    <w:p w:rsidR="00466ADB" w:rsidRPr="00466ADB" w:rsidRDefault="00466ADB" w:rsidP="00466ADB">
      <w:pPr>
        <w:pStyle w:val="elenco1ProgrammazioneIDEE72095"/>
        <w:numPr>
          <w:ilvl w:val="0"/>
          <w:numId w:val="0"/>
        </w:numPr>
        <w:ind w:left="340"/>
        <w:rPr>
          <w:rFonts w:asciiTheme="majorHAnsi" w:hAnsiTheme="majorHAnsi" w:cstheme="majorHAnsi"/>
          <w:i/>
          <w:sz w:val="24"/>
          <w:szCs w:val="24"/>
        </w:rPr>
      </w:pPr>
      <w:r w:rsidRPr="00466ADB">
        <w:rPr>
          <w:rFonts w:asciiTheme="majorHAnsi" w:hAnsiTheme="majorHAnsi" w:cstheme="majorHAnsi"/>
          <w:b/>
          <w:i/>
          <w:sz w:val="24"/>
          <w:szCs w:val="24"/>
        </w:rPr>
        <w:t xml:space="preserve">Obiettivi minimi </w:t>
      </w:r>
      <w:r w:rsidRPr="00466ADB">
        <w:rPr>
          <w:rFonts w:asciiTheme="majorHAnsi" w:hAnsiTheme="majorHAnsi" w:cstheme="majorHAnsi"/>
          <w:i/>
          <w:sz w:val="24"/>
          <w:szCs w:val="24"/>
        </w:rPr>
        <w:t>Descrive un sistema all’equilibrio sia a livello macroscopico sia a livello particellare. Utilizza la legge dell’azione di massa per rappresentare un sistema all’equilibrio.</w:t>
      </w:r>
      <w:r w:rsidRPr="00466ADB">
        <w:rPr>
          <w:rFonts w:asciiTheme="majorHAnsi" w:hAnsiTheme="majorHAnsi" w:cstheme="majorHAnsi"/>
          <w:sz w:val="24"/>
          <w:szCs w:val="24"/>
        </w:rPr>
        <w:t xml:space="preserve"> Utilizza il quoziente di reazione per prevedere come evolve un sistema per raggiungere l’equilibrio.</w:t>
      </w:r>
    </w:p>
    <w:p w:rsidR="00466ADB" w:rsidRPr="00466ADB" w:rsidRDefault="00466ADB" w:rsidP="00466AD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Arial" w:hAnsiTheme="majorHAnsi" w:cstheme="majorHAnsi"/>
          <w:i/>
          <w:sz w:val="24"/>
          <w:szCs w:val="24"/>
        </w:rPr>
      </w:pPr>
    </w:p>
    <w:p w:rsidR="00466ADB" w:rsidRPr="00466ADB" w:rsidRDefault="00466ADB" w:rsidP="00466AD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Arial" w:hAnsiTheme="majorHAnsi" w:cstheme="majorHAnsi"/>
          <w:b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Percorso 2 Equilibri in soluzione acquosa</w:t>
      </w:r>
    </w:p>
    <w:p w:rsidR="00466ADB" w:rsidRPr="00466ADB" w:rsidRDefault="00466ADB" w:rsidP="00466ADB">
      <w:pPr>
        <w:pStyle w:val="Normale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Conoscenze</w:t>
      </w:r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Acidi e basi. Le teorie sugli acidi e sulle basi. La forza degli acidi e delle basi. Le costanti di acidità e di basicità. La costante di dissociazione dell’acqua. Il concetto di pH. Gli strumenti </w:t>
      </w:r>
      <w:r w:rsidRPr="00466ADB">
        <w:rPr>
          <w:rFonts w:asciiTheme="majorHAnsi" w:eastAsia="Arial" w:hAnsiTheme="majorHAnsi" w:cstheme="majorHAnsi"/>
          <w:i/>
          <w:sz w:val="24"/>
          <w:szCs w:val="24"/>
        </w:rPr>
        <w:lastRenderedPageBreak/>
        <w:t>matematici per il calcolo del pH. pH di acidi e basi forti. pH di acidi e basi deboli. pH di soluzioni saline. pH di soluzione tampone.</w:t>
      </w:r>
    </w:p>
    <w:p w:rsidR="00466ADB" w:rsidRPr="00466ADB" w:rsidRDefault="00466ADB" w:rsidP="00466ADB">
      <w:pPr>
        <w:pStyle w:val="Normale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proofErr w:type="gramStart"/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Abilità</w:t>
      </w:r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 :</w:t>
      </w:r>
      <w:proofErr w:type="gramEnd"/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Saper calcolare e misurare il pH di una qualsiasi soluzione basica, acida, salina e tampone .Saper preparare soluzioni a vari pH. Saper scrivere </w:t>
      </w:r>
      <w:proofErr w:type="gramStart"/>
      <w:r w:rsidRPr="00466ADB">
        <w:rPr>
          <w:rFonts w:asciiTheme="majorHAnsi" w:eastAsia="Arial" w:hAnsiTheme="majorHAnsi" w:cstheme="majorHAnsi"/>
          <w:i/>
          <w:sz w:val="24"/>
          <w:szCs w:val="24"/>
        </w:rPr>
        <w:t>le  reazioni</w:t>
      </w:r>
      <w:proofErr w:type="gramEnd"/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di neutralizzazione.  Saper calcolare e misurare il pH di una qualsiasi soluzione basica, acida, salina e tampone.</w:t>
      </w:r>
    </w:p>
    <w:p w:rsidR="00466ADB" w:rsidRPr="00466ADB" w:rsidRDefault="00466ADB" w:rsidP="00466ADB">
      <w:pPr>
        <w:pStyle w:val="Normale1"/>
        <w:shd w:val="clear" w:color="auto" w:fill="FFFFFF" w:themeFill="background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 xml:space="preserve">Obiettivi </w:t>
      </w:r>
      <w:proofErr w:type="gramStart"/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Minimi:</w:t>
      </w:r>
      <w:r w:rsidRPr="00466ADB">
        <w:rPr>
          <w:rFonts w:asciiTheme="majorHAnsi" w:eastAsia="Arial" w:hAnsiTheme="majorHAnsi" w:cstheme="majorHAnsi"/>
          <w:b/>
          <w:i/>
          <w:color w:val="808080"/>
          <w:sz w:val="24"/>
          <w:szCs w:val="24"/>
        </w:rPr>
        <w:t>·</w:t>
      </w:r>
      <w:proofErr w:type="gramEnd"/>
      <w:r w:rsidRPr="00466ADB">
        <w:rPr>
          <w:rFonts w:asciiTheme="majorHAnsi" w:eastAsia="Arial" w:hAnsiTheme="majorHAnsi" w:cstheme="majorHAnsi"/>
          <w:i/>
          <w:color w:val="808080"/>
          <w:sz w:val="24"/>
          <w:szCs w:val="24"/>
        </w:rPr>
        <w:t xml:space="preserve">   </w:t>
      </w:r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Riconosce le sostanze con comportamento acido e quelle con comportamento basico. Stabilisce se un sistema è acido o basico in base al valore di pH. </w:t>
      </w:r>
      <w:proofErr w:type="gramStart"/>
      <w:r w:rsidRPr="00466ADB">
        <w:rPr>
          <w:rFonts w:asciiTheme="majorHAnsi" w:eastAsia="Arial" w:hAnsiTheme="majorHAnsi" w:cstheme="majorHAnsi"/>
          <w:i/>
          <w:sz w:val="24"/>
          <w:szCs w:val="24"/>
        </w:rPr>
        <w:t>Distingue  gli</w:t>
      </w:r>
      <w:proofErr w:type="gramEnd"/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acidi deboli e forti, le basi deboli e forti</w:t>
      </w:r>
      <w:r w:rsidRPr="00466ADB">
        <w:rPr>
          <w:rFonts w:asciiTheme="majorHAnsi" w:eastAsia="Arial" w:hAnsiTheme="majorHAnsi" w:cstheme="majorHAnsi"/>
          <w:i/>
          <w:color w:val="808080"/>
          <w:sz w:val="24"/>
          <w:szCs w:val="24"/>
        </w:rPr>
        <w:t xml:space="preserve"> .</w:t>
      </w:r>
      <w:r w:rsidRPr="00466ADB">
        <w:rPr>
          <w:rFonts w:asciiTheme="majorHAnsi" w:eastAsia="Arial" w:hAnsiTheme="majorHAnsi" w:cstheme="majorHAnsi"/>
          <w:i/>
          <w:sz w:val="24"/>
          <w:szCs w:val="24"/>
        </w:rPr>
        <w:t>Rappresenta la costante di ionizzazione acida e quella basica</w:t>
      </w:r>
      <w:r w:rsidRPr="00466ADB">
        <w:rPr>
          <w:rFonts w:asciiTheme="majorHAnsi" w:eastAsia="Arial" w:hAnsiTheme="majorHAnsi" w:cstheme="majorHAnsi"/>
          <w:i/>
          <w:color w:val="808080"/>
          <w:sz w:val="24"/>
          <w:szCs w:val="24"/>
        </w:rPr>
        <w:t xml:space="preserve">. </w:t>
      </w:r>
      <w:r w:rsidRPr="00466ADB">
        <w:rPr>
          <w:rFonts w:asciiTheme="majorHAnsi" w:eastAsia="Arial" w:hAnsiTheme="majorHAnsi" w:cstheme="majorHAnsi"/>
          <w:i/>
          <w:sz w:val="24"/>
          <w:szCs w:val="24"/>
          <w:shd w:val="clear" w:color="auto" w:fill="FFFFFF" w:themeFill="background1"/>
        </w:rPr>
        <w:t>Saper calcolare il pH</w:t>
      </w:r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di acidi e basi forti. pH di acidi e basi deboli.</w:t>
      </w:r>
    </w:p>
    <w:p w:rsidR="00466ADB" w:rsidRPr="00466ADB" w:rsidRDefault="00466ADB" w:rsidP="00466AD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Arial" w:hAnsiTheme="majorHAnsi" w:cstheme="majorHAnsi"/>
          <w:b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Percorso 3</w:t>
      </w:r>
    </w:p>
    <w:p w:rsidR="00466ADB" w:rsidRPr="00466ADB" w:rsidRDefault="00466ADB" w:rsidP="00466AD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Arial" w:hAnsiTheme="majorHAnsi" w:cstheme="majorHAnsi"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Metodi di analisi volumetrica: titolazioni acido-base</w:t>
      </w:r>
    </w:p>
    <w:p w:rsidR="00466ADB" w:rsidRPr="00466ADB" w:rsidRDefault="00466ADB" w:rsidP="00466AD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Arial" w:hAnsiTheme="majorHAnsi" w:cstheme="majorHAnsi"/>
          <w:i/>
          <w:sz w:val="24"/>
          <w:szCs w:val="24"/>
        </w:rPr>
      </w:pPr>
    </w:p>
    <w:p w:rsidR="00466ADB" w:rsidRPr="00466ADB" w:rsidRDefault="00466ADB" w:rsidP="00466ADB">
      <w:pPr>
        <w:pStyle w:val="Normale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b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Conoscenze</w:t>
      </w:r>
    </w:p>
    <w:p w:rsidR="00466ADB" w:rsidRPr="00466ADB" w:rsidRDefault="00466ADB" w:rsidP="00466ADB">
      <w:pPr>
        <w:pStyle w:val="Normale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Conoscere gli indicatori acido-base. Conoscere i fondamenti del metodo volumetrico, saperli interpretare, applicare, eseguire.</w:t>
      </w:r>
    </w:p>
    <w:p w:rsidR="00466ADB" w:rsidRPr="00466ADB" w:rsidRDefault="00466ADB" w:rsidP="00466ADB">
      <w:pPr>
        <w:pStyle w:val="Normale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Abilità</w:t>
      </w:r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 </w:t>
      </w:r>
    </w:p>
    <w:p w:rsidR="00466ADB" w:rsidRPr="00466ADB" w:rsidRDefault="00466ADB" w:rsidP="00B73C71">
      <w:pPr>
        <w:pStyle w:val="Normale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i/>
          <w:sz w:val="24"/>
          <w:szCs w:val="24"/>
        </w:rPr>
        <w:t>Saper adottare le tecniche e gli accorgimenti congeniali alla valutazione sperimentale; saper elaborare quantitativamente i dati collegandoli alla rilevazione dell’evento</w:t>
      </w:r>
    </w:p>
    <w:p w:rsidR="00466ADB" w:rsidRPr="00466ADB" w:rsidRDefault="00466ADB" w:rsidP="00466AD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Arial" w:hAnsiTheme="majorHAnsi" w:cstheme="majorHAnsi"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 xml:space="preserve">Obiettivi </w:t>
      </w:r>
      <w:proofErr w:type="gramStart"/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Minimi</w:t>
      </w:r>
      <w:r w:rsidRPr="00466ADB">
        <w:rPr>
          <w:rFonts w:asciiTheme="majorHAnsi" w:eastAsia="Arial" w:hAnsiTheme="majorHAnsi" w:cstheme="majorHAnsi"/>
          <w:i/>
          <w:sz w:val="24"/>
          <w:szCs w:val="24"/>
        </w:rPr>
        <w:t>:</w:t>
      </w:r>
      <w:r w:rsidRPr="00466ADB">
        <w:rPr>
          <w:rFonts w:asciiTheme="majorHAnsi" w:eastAsia="Arial" w:hAnsiTheme="majorHAnsi" w:cstheme="majorHAnsi"/>
          <w:i/>
          <w:color w:val="808080"/>
          <w:sz w:val="24"/>
          <w:szCs w:val="24"/>
        </w:rPr>
        <w:t>·</w:t>
      </w:r>
      <w:proofErr w:type="gramEnd"/>
      <w:r w:rsidRPr="00466ADB">
        <w:rPr>
          <w:rFonts w:asciiTheme="majorHAnsi" w:eastAsia="Arial" w:hAnsiTheme="majorHAnsi" w:cstheme="majorHAnsi"/>
          <w:i/>
          <w:color w:val="808080"/>
          <w:sz w:val="24"/>
          <w:szCs w:val="24"/>
        </w:rPr>
        <w:t xml:space="preserve"> </w:t>
      </w:r>
      <w:r w:rsidRPr="00466ADB">
        <w:rPr>
          <w:rFonts w:asciiTheme="majorHAnsi" w:eastAsia="Arial" w:hAnsiTheme="majorHAnsi" w:cstheme="majorHAnsi"/>
          <w:i/>
          <w:sz w:val="24"/>
          <w:szCs w:val="24"/>
        </w:rPr>
        <w:t>saper effettuare una titolazione in pratica</w:t>
      </w:r>
    </w:p>
    <w:p w:rsidR="00466ADB" w:rsidRPr="00466ADB" w:rsidRDefault="00466ADB" w:rsidP="00466AD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Arial" w:hAnsiTheme="majorHAnsi" w:cstheme="majorHAnsi"/>
          <w:i/>
          <w:sz w:val="24"/>
          <w:szCs w:val="24"/>
        </w:rPr>
      </w:pPr>
    </w:p>
    <w:p w:rsidR="00B73C71" w:rsidRDefault="00466ADB" w:rsidP="00B73C71">
      <w:pPr>
        <w:pStyle w:val="Normale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b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 xml:space="preserve">Percorso </w:t>
      </w:r>
      <w:r w:rsidR="008F289E">
        <w:rPr>
          <w:rFonts w:asciiTheme="majorHAnsi" w:eastAsia="Arial" w:hAnsiTheme="majorHAnsi" w:cstheme="majorHAnsi"/>
          <w:b/>
          <w:i/>
          <w:sz w:val="24"/>
          <w:szCs w:val="24"/>
        </w:rPr>
        <w:t>3</w:t>
      </w:r>
      <w:r w:rsidR="00B73C71">
        <w:rPr>
          <w:rFonts w:asciiTheme="majorHAnsi" w:eastAsia="Arial" w:hAnsiTheme="majorHAnsi" w:cstheme="majorHAnsi"/>
          <w:b/>
          <w:i/>
          <w:sz w:val="24"/>
          <w:szCs w:val="24"/>
        </w:rPr>
        <w:t xml:space="preserve"> </w:t>
      </w: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SPETTROSCOPIA VISIBILE UV</w:t>
      </w:r>
    </w:p>
    <w:p w:rsidR="00B73C71" w:rsidRDefault="00466ADB" w:rsidP="00B73C71">
      <w:pPr>
        <w:pStyle w:val="Normale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b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Conoscenze</w:t>
      </w:r>
    </w:p>
    <w:p w:rsidR="00B73C71" w:rsidRDefault="00466ADB" w:rsidP="00B73C71">
      <w:pPr>
        <w:pStyle w:val="Normale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b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Conoscere le caratteristiche delle radiazioni elettromagnetiche e i parametri che le definiscono Conoscere i fenomeni che si verificano in seguito ad interazione tra materia e energia. Conoscere il significato e i meccanismi dell’assorbimento e </w:t>
      </w:r>
      <w:proofErr w:type="gramStart"/>
      <w:r w:rsidRPr="00466ADB">
        <w:rPr>
          <w:rFonts w:asciiTheme="majorHAnsi" w:eastAsia="Arial" w:hAnsiTheme="majorHAnsi" w:cstheme="majorHAnsi"/>
          <w:i/>
          <w:sz w:val="24"/>
          <w:szCs w:val="24"/>
        </w:rPr>
        <w:t>dell’emissione .</w:t>
      </w:r>
      <w:proofErr w:type="gramEnd"/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Conoscere le caratteristiche dei componenti di uno spettrofotometro. Conoscere le differenze tra strumenti a mono e doppio raggio. Conoscere la legge dell’assorbimento ed i limiti di </w:t>
      </w:r>
      <w:proofErr w:type="gramStart"/>
      <w:r w:rsidRPr="00466ADB">
        <w:rPr>
          <w:rFonts w:asciiTheme="majorHAnsi" w:eastAsia="Arial" w:hAnsiTheme="majorHAnsi" w:cstheme="majorHAnsi"/>
          <w:i/>
          <w:sz w:val="24"/>
          <w:szCs w:val="24"/>
        </w:rPr>
        <w:t>applicazione .</w:t>
      </w:r>
      <w:proofErr w:type="gramEnd"/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Conoscere le motivazioni per cui alcune sostanze assorbono nel campo del visibile </w:t>
      </w:r>
      <w:proofErr w:type="gramStart"/>
      <w:r w:rsidRPr="00466ADB">
        <w:rPr>
          <w:rFonts w:asciiTheme="majorHAnsi" w:eastAsia="Arial" w:hAnsiTheme="majorHAnsi" w:cstheme="majorHAnsi"/>
          <w:i/>
          <w:sz w:val="24"/>
          <w:szCs w:val="24"/>
        </w:rPr>
        <w:t>dell’ UV</w:t>
      </w:r>
      <w:proofErr w:type="gramEnd"/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(con riferimento particolare ai composti organici).</w:t>
      </w:r>
    </w:p>
    <w:p w:rsidR="00466ADB" w:rsidRPr="00466ADB" w:rsidRDefault="00466ADB" w:rsidP="00B73C71">
      <w:pPr>
        <w:pStyle w:val="Normale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b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Abilità</w:t>
      </w:r>
    </w:p>
    <w:p w:rsidR="00466ADB" w:rsidRPr="00466ADB" w:rsidRDefault="00466ADB" w:rsidP="008F289E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i/>
          <w:sz w:val="24"/>
          <w:szCs w:val="24"/>
        </w:rPr>
        <w:lastRenderedPageBreak/>
        <w:t>Comprendere l’utilità dell’analisi spettrofotometrica visibile ultravioletta. Conoscere le modalità per effettuare un’analisi qualitativa e quantitativa. Conoscere il metodo della retta di taratura. Saper effettuare un'analisi quantitativa di un campione incognito</w:t>
      </w:r>
    </w:p>
    <w:p w:rsidR="008F289E" w:rsidRDefault="00466ADB" w:rsidP="008F289E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color w:val="808080"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 xml:space="preserve">Obiettivi </w:t>
      </w:r>
      <w:proofErr w:type="gramStart"/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Minimi:</w:t>
      </w:r>
      <w:r w:rsidRPr="00466ADB">
        <w:rPr>
          <w:rFonts w:asciiTheme="majorHAnsi" w:eastAsia="Arial" w:hAnsiTheme="majorHAnsi" w:cstheme="majorHAnsi"/>
          <w:b/>
          <w:i/>
          <w:color w:val="808080"/>
          <w:sz w:val="24"/>
          <w:szCs w:val="24"/>
        </w:rPr>
        <w:t>·</w:t>
      </w:r>
      <w:proofErr w:type="gramEnd"/>
      <w:r w:rsidRPr="00466ADB">
        <w:rPr>
          <w:rFonts w:asciiTheme="majorHAnsi" w:eastAsia="Arial" w:hAnsiTheme="majorHAnsi" w:cstheme="majorHAnsi"/>
          <w:i/>
          <w:color w:val="808080"/>
          <w:sz w:val="24"/>
          <w:szCs w:val="24"/>
        </w:rPr>
        <w:t xml:space="preserve">   </w:t>
      </w:r>
      <w:r w:rsidRPr="00466ADB">
        <w:rPr>
          <w:rFonts w:asciiTheme="majorHAnsi" w:eastAsia="Arial" w:hAnsiTheme="majorHAnsi" w:cstheme="majorHAnsi"/>
          <w:i/>
          <w:sz w:val="24"/>
          <w:szCs w:val="24"/>
        </w:rPr>
        <w:t>Saper descrivere i principi base della spettrometria UV-VIS.</w:t>
      </w:r>
      <w:r w:rsidRPr="00466ADB">
        <w:rPr>
          <w:rFonts w:asciiTheme="majorHAnsi" w:eastAsia="Arial" w:hAnsiTheme="majorHAnsi" w:cstheme="majorHAnsi"/>
          <w:i/>
          <w:color w:val="808080"/>
          <w:sz w:val="24"/>
          <w:szCs w:val="24"/>
        </w:rPr>
        <w:t xml:space="preserve"> </w:t>
      </w:r>
    </w:p>
    <w:p w:rsidR="008F289E" w:rsidRDefault="00466ADB" w:rsidP="008F289E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color w:val="808080"/>
          <w:sz w:val="24"/>
          <w:szCs w:val="24"/>
        </w:rPr>
      </w:pPr>
      <w:r w:rsidRPr="00466ADB">
        <w:rPr>
          <w:rFonts w:asciiTheme="majorHAnsi" w:eastAsia="Arial" w:hAnsiTheme="majorHAnsi" w:cstheme="majorHAnsi"/>
          <w:i/>
          <w:sz w:val="24"/>
          <w:szCs w:val="24"/>
        </w:rPr>
        <w:t>Saper descrivere uno spettrofotometro nei suoi componenti essenziali.</w:t>
      </w:r>
      <w:r w:rsidRPr="00466ADB">
        <w:rPr>
          <w:rFonts w:asciiTheme="majorHAnsi" w:eastAsia="Arial" w:hAnsiTheme="majorHAnsi" w:cstheme="majorHAnsi"/>
          <w:i/>
          <w:color w:val="808080"/>
          <w:sz w:val="24"/>
          <w:szCs w:val="24"/>
        </w:rPr>
        <w:t xml:space="preserve">  </w:t>
      </w:r>
    </w:p>
    <w:p w:rsidR="008F289E" w:rsidRDefault="00466ADB" w:rsidP="008F289E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Saper applicare la legge di Lambert e </w:t>
      </w:r>
      <w:proofErr w:type="spellStart"/>
      <w:r w:rsidRPr="00466ADB">
        <w:rPr>
          <w:rFonts w:asciiTheme="majorHAnsi" w:eastAsia="Arial" w:hAnsiTheme="majorHAnsi" w:cstheme="majorHAnsi"/>
          <w:i/>
          <w:sz w:val="24"/>
          <w:szCs w:val="24"/>
        </w:rPr>
        <w:t>Beer</w:t>
      </w:r>
      <w:proofErr w:type="spellEnd"/>
      <w:r w:rsidRPr="00466ADB">
        <w:rPr>
          <w:rFonts w:asciiTheme="majorHAnsi" w:eastAsia="Arial" w:hAnsiTheme="majorHAnsi" w:cstheme="majorHAnsi"/>
          <w:i/>
          <w:sz w:val="24"/>
          <w:szCs w:val="24"/>
        </w:rPr>
        <w:t>.</w:t>
      </w:r>
    </w:p>
    <w:p w:rsidR="00B73C71" w:rsidRDefault="00466ADB" w:rsidP="008F289E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Saper distinguere tra analisi qualitativa e quantitativa in spettrofotometria UV </w:t>
      </w:r>
      <w:proofErr w:type="gramStart"/>
      <w:r w:rsidRPr="00466ADB">
        <w:rPr>
          <w:rFonts w:asciiTheme="majorHAnsi" w:eastAsia="Arial" w:hAnsiTheme="majorHAnsi" w:cstheme="majorHAnsi"/>
          <w:i/>
          <w:sz w:val="24"/>
          <w:szCs w:val="24"/>
        </w:rPr>
        <w:t>VIS  interpretandone</w:t>
      </w:r>
      <w:proofErr w:type="gramEnd"/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i risultati. </w:t>
      </w:r>
    </w:p>
    <w:p w:rsidR="00BA7FEA" w:rsidRDefault="00BA7FEA" w:rsidP="008F289E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</w:p>
    <w:p w:rsidR="00BA7FEA" w:rsidRDefault="00BA7FEA" w:rsidP="008F289E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</w:p>
    <w:p w:rsidR="00BA7FEA" w:rsidRDefault="00BA7FEA" w:rsidP="008F289E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b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b/>
          <w:i/>
          <w:sz w:val="24"/>
          <w:szCs w:val="24"/>
        </w:rPr>
        <w:t>Attività di laboratorio di Chimica Analitica e Strumentale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classe 4G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biotec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a.s.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 2023-2024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Equilibrio chimico: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Aspetti fenomenologici per lo studio di sistemi chimici reversibili;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- Equilibrio complessazione Co(II) </w:t>
      </w:r>
      <w:proofErr w:type="spellStart"/>
      <w:proofErr w:type="gram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aq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>./</w:t>
      </w:r>
      <w:proofErr w:type="gramEnd"/>
      <w:r w:rsidRPr="00BA7FEA">
        <w:rPr>
          <w:rFonts w:asciiTheme="majorHAnsi" w:eastAsia="Arial" w:hAnsiTheme="majorHAnsi" w:cstheme="majorHAnsi"/>
          <w:i/>
          <w:sz w:val="24"/>
          <w:szCs w:val="24"/>
        </w:rPr>
        <w:t>Co(II)ioni cloruro: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studio della fenomenologia riguardante le modificazioni da apportare al sistema all</w:t>
      </w:r>
      <w:proofErr w:type="gramStart"/>
      <w:r>
        <w:rPr>
          <w:rFonts w:asciiTheme="majorHAnsi" w:eastAsia="Arial" w:hAnsiTheme="majorHAnsi" w:cstheme="majorHAnsi"/>
          <w:i/>
          <w:sz w:val="24"/>
          <w:szCs w:val="24"/>
        </w:rPr>
        <w:t>’</w:t>
      </w:r>
      <w:r w:rsidRPr="00BA7FEA">
        <w:rPr>
          <w:rFonts w:asciiTheme="majorHAnsi" w:eastAsia="Arial" w:hAnsiTheme="majorHAnsi" w:cstheme="majorHAnsi"/>
          <w:i/>
          <w:sz w:val="24"/>
          <w:szCs w:val="24"/>
        </w:rPr>
        <w:t>;equilibrio</w:t>
      </w:r>
      <w:proofErr w:type="gramEnd"/>
      <w:r w:rsidRPr="00BA7FEA">
        <w:rPr>
          <w:rFonts w:asciiTheme="majorHAnsi" w:eastAsia="Arial" w:hAnsiTheme="majorHAnsi" w:cstheme="majorHAnsi"/>
          <w:i/>
          <w:sz w:val="24"/>
          <w:szCs w:val="24"/>
        </w:rPr>
        <w:t>,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tipologia di modificazioni da effettuare;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studio del principio di Le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Chatelier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 applicato al sistema.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Acidi e basi: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approccio sperimentale allo studio delle proprietà di acidi e basi;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- impiego del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conducimetro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 per misure di conducibilità elettrica di soluzioni, impiego del tester di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pH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>, uso di indicatori acido-base di natura sintetica e naturale per l</w:t>
      </w:r>
      <w:proofErr w:type="gramStart"/>
      <w:r>
        <w:rPr>
          <w:rFonts w:asciiTheme="majorHAnsi" w:eastAsia="Arial" w:hAnsiTheme="majorHAnsi" w:cstheme="majorHAnsi"/>
          <w:i/>
          <w:sz w:val="24"/>
          <w:szCs w:val="24"/>
        </w:rPr>
        <w:t>’</w:t>
      </w:r>
      <w:r w:rsidRPr="00BA7FEA">
        <w:rPr>
          <w:rFonts w:asciiTheme="majorHAnsi" w:eastAsia="Arial" w:hAnsiTheme="majorHAnsi" w:cstheme="majorHAnsi"/>
          <w:i/>
          <w:sz w:val="24"/>
          <w:szCs w:val="24"/>
        </w:rPr>
        <w:t>;indagine</w:t>
      </w:r>
      <w:proofErr w:type="gram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 di soluzioni acquose di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specie chimiche e sostanze di tipo merceologico;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reazione di neutralizzazione: significato, modalità per seguire la reazione, studio della reazione tra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HCl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 vs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NaOH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>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- Misure di volume (accuratezza e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e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 precisione), dispositivi per erogare, caratteristiche di una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buretta; impiego della buretta (aspetti principali della gestione del dispositivo);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Reazione di neutralizzazione: attività di studio delle caratteristiche seguendo la procedura stabilita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eseguendo le aggiunte di vol. di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NaOH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 con la buretta.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lastRenderedPageBreak/>
        <w:t xml:space="preserve">- Soluzioni tampone: valutazione delle proprietà tampone di alcune soluzioni per aggiunte di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sol.acq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>.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di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NaOH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>.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Metodi volumetrici di analisi: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fasi di una titolazione, terminologia impiegata, metodi per l</w:t>
      </w:r>
      <w:r>
        <w:rPr>
          <w:rFonts w:asciiTheme="majorHAnsi" w:eastAsia="Arial" w:hAnsiTheme="majorHAnsi" w:cstheme="majorHAnsi"/>
          <w:i/>
          <w:sz w:val="24"/>
          <w:szCs w:val="24"/>
        </w:rPr>
        <w:t>’</w:t>
      </w:r>
      <w:r w:rsidRPr="00BA7FEA">
        <w:rPr>
          <w:rFonts w:asciiTheme="majorHAnsi" w:eastAsia="Arial" w:hAnsiTheme="majorHAnsi" w:cstheme="majorHAnsi"/>
          <w:i/>
          <w:sz w:val="24"/>
          <w:szCs w:val="24"/>
        </w:rPr>
        <w:t>individuazione del punto finale, ruolo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degli indicatori visuali (esempi).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titolazioni acido forte-base forte con impiego di indicatori visuali;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Metodi spettroscopici: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Introduzione alla spettroscopia: osservazioni sperimentali relative all</w:t>
      </w:r>
      <w:r>
        <w:rPr>
          <w:rFonts w:asciiTheme="majorHAnsi" w:eastAsia="Arial" w:hAnsiTheme="majorHAnsi" w:cstheme="majorHAnsi"/>
          <w:i/>
          <w:sz w:val="24"/>
          <w:szCs w:val="24"/>
        </w:rPr>
        <w:t>’</w:t>
      </w:r>
      <w:r w:rsidRPr="00BA7FEA">
        <w:rPr>
          <w:rFonts w:asciiTheme="majorHAnsi" w:eastAsia="Arial" w:hAnsiTheme="majorHAnsi" w:cstheme="majorHAnsi"/>
          <w:i/>
          <w:sz w:val="24"/>
          <w:szCs w:val="24"/>
        </w:rPr>
        <w:t>interazione tra materia ed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energia, energia posseduta da radiazioni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e.m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. del VIS, radiazioni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e.m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>. assorbite/emesse e colore,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osservazione dello spettro elettromagnetico del VIS di una sorgente luminosa,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- schema funzionamento dello spettroscopio di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Kirchoff-Bunsen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>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osservazioni sperimentali di spettri di emissione di sorgenti luminose di varia natura;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misura della lunghezza d</w:t>
      </w:r>
      <w:r>
        <w:rPr>
          <w:rFonts w:asciiTheme="majorHAnsi" w:eastAsia="Arial" w:hAnsiTheme="majorHAnsi" w:cstheme="majorHAnsi"/>
          <w:i/>
          <w:sz w:val="24"/>
          <w:szCs w:val="24"/>
        </w:rPr>
        <w:t>’</w:t>
      </w:r>
      <w:r w:rsidRPr="00BA7FEA">
        <w:rPr>
          <w:rFonts w:asciiTheme="majorHAnsi" w:eastAsia="Arial" w:hAnsiTheme="majorHAnsi" w:cstheme="majorHAnsi"/>
          <w:i/>
          <w:sz w:val="24"/>
          <w:szCs w:val="24"/>
        </w:rPr>
        <w:t>onda di bande spettrali;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fenomeno dell</w:t>
      </w:r>
      <w:r>
        <w:rPr>
          <w:rFonts w:asciiTheme="majorHAnsi" w:eastAsia="Arial" w:hAnsiTheme="majorHAnsi" w:cstheme="majorHAnsi"/>
          <w:i/>
          <w:sz w:val="24"/>
          <w:szCs w:val="24"/>
        </w:rPr>
        <w:t>’</w:t>
      </w: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assorbimento di radiazioni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e.m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. (studio con vari dispositivi e sol.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acq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>. di specie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chimiche);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colore e analisi chimica (colorimetria di confronto e limiti visuali, introduzione al colorimetro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fotoelettrico);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schema funzionamento del colorimetro, modalità di impiego, analisi quantitativa (metodo della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curva di calibrazione,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eq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>. della retta di calibrazione e coefficiente di correlazione mediante foglio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elettronico).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Schema di funzionamento di uno spettrofotometro, modalità di impiego, analisi qualitativa e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analisi quantitativa;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Determinazione fotometrica nel VIS dello ione Fe(II) presente in un campione incognito: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esame del metodo analitico;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preparazione delle soluzioni previste dal metodo;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registrazione dello spettro di assorbimento di sol. di Fe(II)/o-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phen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>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- letture fotometriche </w:t>
      </w:r>
      <w:proofErr w:type="gram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delle sol</w:t>
      </w:r>
      <w:proofErr w:type="gramEnd"/>
      <w:r w:rsidRPr="00BA7FEA">
        <w:rPr>
          <w:rFonts w:asciiTheme="majorHAnsi" w:eastAsia="Arial" w:hAnsiTheme="majorHAnsi" w:cstheme="majorHAnsi"/>
          <w:i/>
          <w:sz w:val="24"/>
          <w:szCs w:val="24"/>
        </w:rPr>
        <w:t>. standard Fe(II)/o-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phen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 per la realizzazione della curva di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calibrazione (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Abs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 vs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conc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>.);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effettuazione calcoli delle concentrazioni delle soluzioni stock1 e stock2 di Fe(II), effettuazione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calcoli concentrazione </w:t>
      </w:r>
      <w:proofErr w:type="gram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delle sol</w:t>
      </w:r>
      <w:proofErr w:type="gram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.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std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 diluite Fe(II) per impiego fotometrico;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- tabella valori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Abs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 vs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conc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.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std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>, impiego di foglio elettronico per rappresentazione grafica dati,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lastRenderedPageBreak/>
        <w:t>valutazione critica dei punti indicati sul grafico, visualizzazione retta di calibrazione con relativa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equazione;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analisi quantitativa di un campione incognito di ioni Fe(II) mediante spettrofotometria VIS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(preparazione del campione al fine analitico, misura fotometrica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Abs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>, calcolo della concentrazione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D</w:t>
      </w:r>
      <w:r w:rsidRPr="00BA7FEA">
        <w:rPr>
          <w:rFonts w:asciiTheme="majorHAnsi" w:eastAsia="Arial" w:hAnsiTheme="majorHAnsi" w:cstheme="majorHAnsi"/>
          <w:i/>
          <w:sz w:val="24"/>
          <w:szCs w:val="24"/>
        </w:rPr>
        <w:t>ell</w:t>
      </w:r>
      <w:proofErr w:type="gramStart"/>
      <w:r>
        <w:rPr>
          <w:rFonts w:asciiTheme="majorHAnsi" w:eastAsia="Arial" w:hAnsiTheme="majorHAnsi" w:cstheme="majorHAnsi"/>
          <w:i/>
          <w:sz w:val="24"/>
          <w:szCs w:val="24"/>
        </w:rPr>
        <w:t>’</w:t>
      </w:r>
      <w:r w:rsidRPr="00BA7FEA">
        <w:rPr>
          <w:rFonts w:asciiTheme="majorHAnsi" w:eastAsia="Arial" w:hAnsiTheme="majorHAnsi" w:cstheme="majorHAnsi"/>
          <w:i/>
          <w:sz w:val="24"/>
          <w:szCs w:val="24"/>
        </w:rPr>
        <w:t>;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analita</w:t>
      </w:r>
      <w:proofErr w:type="spellEnd"/>
      <w:proofErr w:type="gram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 nel campione incognito originario).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Determinazione fotometrica nel VIS dei nitriti presenti in un campione di acqua del fiume Arno: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esame del metodo analitico;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preparazione delle soluzioni previste dal metodo;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- registrazione dello spettro di assorbimento di sol. di NO 2 - /reattivo di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Griess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>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- letture fotometriche </w:t>
      </w:r>
      <w:proofErr w:type="gram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delle sol</w:t>
      </w:r>
      <w:proofErr w:type="gram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. standard NO 2 - /reattivo di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Griess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 per la realizzazione della curva di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calibrazione (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Abs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 vs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conc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>.);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- effettuazione calcoli delle concentrazioni delle soluzioni stock1 e stock2 di N-NO 2 </w:t>
      </w:r>
      <w:proofErr w:type="gram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- ,</w:t>
      </w:r>
      <w:proofErr w:type="gram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 effettuazione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calcoli concentrazione </w:t>
      </w:r>
      <w:proofErr w:type="gram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delle sol</w:t>
      </w:r>
      <w:proofErr w:type="gram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.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std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 diluite N-NO 2 - per impiego fotometrico;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- tabella valori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Abs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 vs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conc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.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std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>, impiego di foglio elettronico per rappresentazione grafica dati,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visualizzazione retta di calibrazione con relativa equazione;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- analisi quantitativa di un campione di acqua del fiume Arno mediante spettrofotometria VIS</w:t>
      </w:r>
    </w:p>
    <w:p w:rsidR="00BA7FEA" w:rsidRP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 xml:space="preserve">(preparazione del campione al fine analitico, misura fotometrica </w:t>
      </w:r>
      <w:proofErr w:type="spellStart"/>
      <w:r w:rsidRPr="00BA7FEA">
        <w:rPr>
          <w:rFonts w:asciiTheme="majorHAnsi" w:eastAsia="Arial" w:hAnsiTheme="majorHAnsi" w:cstheme="majorHAnsi"/>
          <w:i/>
          <w:sz w:val="24"/>
          <w:szCs w:val="24"/>
        </w:rPr>
        <w:t>Abs</w:t>
      </w:r>
      <w:proofErr w:type="spellEnd"/>
      <w:r w:rsidRPr="00BA7FEA">
        <w:rPr>
          <w:rFonts w:asciiTheme="majorHAnsi" w:eastAsia="Arial" w:hAnsiTheme="majorHAnsi" w:cstheme="majorHAnsi"/>
          <w:i/>
          <w:sz w:val="24"/>
          <w:szCs w:val="24"/>
        </w:rPr>
        <w:t>, calcolo della concentrazione</w:t>
      </w:r>
    </w:p>
    <w:p w:rsidR="00BA7FEA" w:rsidRDefault="00BA7FEA" w:rsidP="00BA7FEA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BA7FEA">
        <w:rPr>
          <w:rFonts w:asciiTheme="majorHAnsi" w:eastAsia="Arial" w:hAnsiTheme="majorHAnsi" w:cstheme="majorHAnsi"/>
          <w:i/>
          <w:sz w:val="24"/>
          <w:szCs w:val="24"/>
        </w:rPr>
        <w:t>D</w:t>
      </w:r>
      <w:r w:rsidRPr="00BA7FEA">
        <w:rPr>
          <w:rFonts w:asciiTheme="majorHAnsi" w:eastAsia="Arial" w:hAnsiTheme="majorHAnsi" w:cstheme="majorHAnsi"/>
          <w:i/>
          <w:sz w:val="24"/>
          <w:szCs w:val="24"/>
        </w:rPr>
        <w:t>ell</w:t>
      </w:r>
      <w:r>
        <w:rPr>
          <w:rFonts w:asciiTheme="majorHAnsi" w:eastAsia="Arial" w:hAnsiTheme="majorHAnsi" w:cstheme="majorHAnsi"/>
          <w:i/>
          <w:sz w:val="24"/>
          <w:szCs w:val="24"/>
        </w:rPr>
        <w:t>’</w:t>
      </w:r>
      <w:bookmarkStart w:id="6" w:name="_GoBack"/>
      <w:bookmarkEnd w:id="6"/>
      <w:r w:rsidRPr="00BA7FEA">
        <w:rPr>
          <w:rFonts w:asciiTheme="majorHAnsi" w:eastAsia="Arial" w:hAnsiTheme="majorHAnsi" w:cstheme="majorHAnsi"/>
          <w:i/>
          <w:sz w:val="24"/>
          <w:szCs w:val="24"/>
        </w:rPr>
        <w:t>analita nel campione incognito originario).</w:t>
      </w:r>
    </w:p>
    <w:p w:rsidR="00BA7FEA" w:rsidRDefault="00BA7FEA" w:rsidP="008F289E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</w:p>
    <w:p w:rsidR="00B73C71" w:rsidRDefault="00B73C71" w:rsidP="008F289E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</w:p>
    <w:p w:rsidR="007F0258" w:rsidRDefault="00B73C71">
      <w:pPr>
        <w:pStyle w:val="Normale1"/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Studenti </w:t>
      </w:r>
      <w:r w:rsidR="00145200">
        <w:rPr>
          <w:rFonts w:ascii="Calibri" w:eastAsia="Calibri" w:hAnsi="Calibri" w:cs="Calibri"/>
          <w:sz w:val="24"/>
          <w:szCs w:val="24"/>
        </w:rPr>
        <w:tab/>
        <w:t xml:space="preserve">                                   la docente Antonella Corrado</w:t>
      </w:r>
    </w:p>
    <w:sectPr w:rsidR="007F0258" w:rsidSect="007F0258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E76"/>
    <w:multiLevelType w:val="hybridMultilevel"/>
    <w:tmpl w:val="B7A8360C"/>
    <w:lvl w:ilvl="0" w:tplc="849CD75E">
      <w:start w:val="1"/>
      <w:numFmt w:val="bullet"/>
      <w:pStyle w:val="elenco1ProgrammazioneIDEE72095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7F0258"/>
    <w:rsid w:val="00044B12"/>
    <w:rsid w:val="00145200"/>
    <w:rsid w:val="00437FBC"/>
    <w:rsid w:val="00466ADB"/>
    <w:rsid w:val="007F0258"/>
    <w:rsid w:val="008F289E"/>
    <w:rsid w:val="00B70C24"/>
    <w:rsid w:val="00B73C71"/>
    <w:rsid w:val="00BA7FEA"/>
    <w:rsid w:val="00C5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6D7C"/>
  <w15:docId w15:val="{120CED7C-EBDC-45A3-B500-6A3BA614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B12"/>
  </w:style>
  <w:style w:type="paragraph" w:styleId="Titolo1">
    <w:name w:val="heading 1"/>
    <w:basedOn w:val="Normale1"/>
    <w:next w:val="Normale1"/>
    <w:rsid w:val="007F0258"/>
    <w:pPr>
      <w:keepNext/>
      <w:spacing w:before="100" w:after="10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e1"/>
    <w:next w:val="Normale1"/>
    <w:rsid w:val="007F025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7F025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7F0258"/>
    <w:pPr>
      <w:keepNext/>
      <w:spacing w:before="100" w:after="10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e1"/>
    <w:next w:val="Normale1"/>
    <w:rsid w:val="007F025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1"/>
    <w:next w:val="Normale1"/>
    <w:rsid w:val="007F025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F0258"/>
  </w:style>
  <w:style w:type="table" w:customStyle="1" w:styleId="TableNormal">
    <w:name w:val="Table Normal"/>
    <w:rsid w:val="007F02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F025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7F025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025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A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ADB"/>
    <w:rPr>
      <w:rFonts w:ascii="Tahoma" w:hAnsi="Tahoma" w:cs="Tahoma"/>
      <w:sz w:val="16"/>
      <w:szCs w:val="16"/>
    </w:rPr>
  </w:style>
  <w:style w:type="paragraph" w:customStyle="1" w:styleId="elenco1ProgrammazioneIDEE72095">
    <w:name w:val="elenco1 (ProgrammazioneIDEE_72095)"/>
    <w:basedOn w:val="Normale"/>
    <w:uiPriority w:val="99"/>
    <w:rsid w:val="00466ADB"/>
    <w:pPr>
      <w:widowControl w:val="0"/>
      <w:numPr>
        <w:numId w:val="1"/>
      </w:numPr>
      <w:tabs>
        <w:tab w:val="left" w:pos="170"/>
      </w:tabs>
      <w:autoSpaceDE w:val="0"/>
      <w:autoSpaceDN w:val="0"/>
      <w:adjustRightInd w:val="0"/>
      <w:ind w:left="170" w:hanging="170"/>
      <w:textAlignment w:val="center"/>
    </w:pPr>
    <w:rPr>
      <w:rFonts w:ascii="Verdana" w:hAnsi="Verdana" w:cs="Verdan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Giulia</cp:lastModifiedBy>
  <cp:revision>4</cp:revision>
  <dcterms:created xsi:type="dcterms:W3CDTF">2024-05-22T08:37:00Z</dcterms:created>
  <dcterms:modified xsi:type="dcterms:W3CDTF">2024-06-15T09:14:00Z</dcterms:modified>
</cp:coreProperties>
</file>